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Default="005156EC" w:rsidP="00590425">
      <w:pPr>
        <w:pStyle w:val="papertitle"/>
        <w:spacing w:before="5pt" w:beforeAutospacing="1" w:after="5pt" w:afterAutospacing="1"/>
        <w:rPr>
          <w:kern w:val="48"/>
        </w:rPr>
      </w:pPr>
    </w:p>
    <w:p w14:paraId="6DEFF413" w14:textId="77777777" w:rsidR="00A53FDA" w:rsidRPr="00D95EE8" w:rsidRDefault="00A53FDA" w:rsidP="00A53FDA">
      <w:pPr>
        <w:pStyle w:val="papertitle"/>
        <w:spacing w:before="5pt" w:beforeAutospacing="1" w:after="5pt" w:afterAutospacing="1"/>
        <w:rPr>
          <w:kern w:val="48"/>
        </w:rPr>
      </w:pPr>
      <w:r w:rsidRPr="00653343">
        <w:rPr>
          <w:kern w:val="48"/>
        </w:rPr>
        <w:t>Fusion of MRI and PET image</w:t>
      </w:r>
      <w:r>
        <w:rPr>
          <w:kern w:val="48"/>
        </w:rPr>
        <w:t>s</w:t>
      </w:r>
      <w:r w:rsidRPr="00653343">
        <w:rPr>
          <w:kern w:val="48"/>
        </w:rPr>
        <w:t xml:space="preserve"> using wavelet transform</w:t>
      </w:r>
      <w:r>
        <w:rPr>
          <w:kern w:val="48"/>
        </w:rPr>
        <w:t xml:space="preserve"> </w:t>
      </w:r>
      <w:r w:rsidRPr="00653343">
        <w:rPr>
          <w:kern w:val="48"/>
        </w:rPr>
        <w:t>And IHS transform to better understand medical images</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C801104" w14:textId="1B3EDB3E" w:rsidR="006A29BB" w:rsidRPr="00A53FDA" w:rsidRDefault="002C5D1B" w:rsidP="00B8530B">
      <w:pPr>
        <w:pStyle w:val="Author"/>
        <w:spacing w:before="0pt" w:after="0pt"/>
        <w:ind w:start="18pt"/>
        <w:rPr>
          <w:sz w:val="18"/>
          <w:szCs w:val="18"/>
        </w:rPr>
      </w:pPr>
      <w:r w:rsidRPr="00F847A6">
        <w:rPr>
          <w:sz w:val="18"/>
          <w:szCs w:val="18"/>
        </w:rPr>
        <w:t>1</w:t>
      </w:r>
      <w:r w:rsidRPr="00F847A6">
        <w:rPr>
          <w:sz w:val="18"/>
          <w:szCs w:val="18"/>
          <w:vertAlign w:val="superscript"/>
        </w:rPr>
        <w:t>st</w:t>
      </w:r>
      <w:r w:rsidRPr="00F847A6">
        <w:rPr>
          <w:sz w:val="18"/>
          <w:szCs w:val="18"/>
        </w:rPr>
        <w:t xml:space="preserve"> </w:t>
      </w:r>
      <w:r w:rsidR="00A53FDA">
        <w:rPr>
          <w:sz w:val="18"/>
          <w:szCs w:val="18"/>
        </w:rPr>
        <w:t>Mohammad Reza Janani</w:t>
      </w:r>
      <w:r w:rsidR="00A53FDA" w:rsidRPr="009635A8">
        <w:rPr>
          <w:sz w:val="18"/>
          <w:szCs w:val="18"/>
          <w:vertAlign w:val="superscript"/>
        </w:rPr>
        <w:t xml:space="preserve"> </w:t>
      </w:r>
      <w:r w:rsidRPr="009635A8">
        <w:rPr>
          <w:sz w:val="18"/>
          <w:szCs w:val="18"/>
          <w:vertAlign w:val="superscript"/>
        </w:rPr>
        <w:t>1</w:t>
      </w:r>
      <w:r w:rsidR="00A93B5D">
        <w:rPr>
          <w:sz w:val="18"/>
          <w:szCs w:val="18"/>
        </w:rPr>
        <w:t xml:space="preserve">, </w:t>
      </w:r>
      <w:r>
        <w:rPr>
          <w:sz w:val="18"/>
          <w:szCs w:val="18"/>
        </w:rPr>
        <w:t>2</w:t>
      </w:r>
      <w:r>
        <w:rPr>
          <w:sz w:val="18"/>
          <w:szCs w:val="18"/>
          <w:vertAlign w:val="superscript"/>
        </w:rPr>
        <w:t>nd</w:t>
      </w:r>
      <w:r w:rsidRPr="00F847A6">
        <w:rPr>
          <w:sz w:val="18"/>
          <w:szCs w:val="18"/>
        </w:rPr>
        <w:t xml:space="preserve"> </w:t>
      </w:r>
      <w:r w:rsidR="00A53FDA" w:rsidRPr="009E7C8C">
        <w:rPr>
          <w:sz w:val="18"/>
          <w:szCs w:val="18"/>
        </w:rPr>
        <w:t>Mahmoud Nazarpour</w:t>
      </w:r>
      <w:r w:rsidR="00A53FDA" w:rsidRPr="00DE7FB0">
        <w:rPr>
          <w:sz w:val="18"/>
          <w:szCs w:val="18"/>
          <w:vertAlign w:val="superscript"/>
        </w:rPr>
        <w:t>1</w:t>
      </w:r>
      <w:r w:rsidR="00A53FDA">
        <w:rPr>
          <w:sz w:val="18"/>
          <w:szCs w:val="18"/>
          <w:vertAlign w:val="superscript"/>
        </w:rPr>
        <w:t>,2</w:t>
      </w:r>
      <w:r w:rsidR="00A53FDA" w:rsidRPr="00DE7FB0">
        <w:rPr>
          <w:sz w:val="18"/>
          <w:szCs w:val="18"/>
        </w:rPr>
        <w:t xml:space="preserve"> </w:t>
      </w:r>
      <w:r w:rsidR="00A53FDA">
        <w:rPr>
          <w:sz w:val="18"/>
          <w:szCs w:val="18"/>
          <w:vertAlign w:val="superscript"/>
        </w:rPr>
        <w:t>*</w:t>
      </w:r>
      <w:r w:rsidRPr="00F847A6">
        <w:rPr>
          <w:sz w:val="18"/>
          <w:szCs w:val="18"/>
        </w:rPr>
        <w:br/>
      </w:r>
      <w:r w:rsidRPr="00F847A6">
        <w:rPr>
          <w:sz w:val="18"/>
          <w:szCs w:val="18"/>
        </w:rPr>
        <w:br/>
      </w:r>
      <w:r w:rsidR="006A29BB" w:rsidRPr="009635A8">
        <w:rPr>
          <w:sz w:val="18"/>
          <w:szCs w:val="18"/>
          <w:vertAlign w:val="superscript"/>
        </w:rPr>
        <w:t>1</w:t>
      </w:r>
      <w:r w:rsidR="006A29BB" w:rsidRPr="00C952C5">
        <w:rPr>
          <w:rFonts w:ascii="IRANSans" w:hAnsi="IRANSans"/>
          <w:color w:val="555555"/>
          <w:sz w:val="20"/>
          <w:szCs w:val="20"/>
        </w:rPr>
        <w:t xml:space="preserve"> </w:t>
      </w:r>
      <w:r w:rsidR="00A53FDA" w:rsidRPr="00A14D46">
        <w:rPr>
          <w:sz w:val="18"/>
          <w:szCs w:val="18"/>
          <w:lang w:val="en-GB"/>
        </w:rPr>
        <w:t xml:space="preserve">Faculty of </w:t>
      </w:r>
      <w:r w:rsidR="00A53FDA" w:rsidRPr="00A14D46">
        <w:rPr>
          <w:sz w:val="18"/>
          <w:szCs w:val="18"/>
        </w:rPr>
        <w:t>Health</w:t>
      </w:r>
      <w:r w:rsidR="00A53FDA" w:rsidRPr="009E7C8C">
        <w:rPr>
          <w:sz w:val="18"/>
          <w:szCs w:val="18"/>
        </w:rPr>
        <w:t xml:space="preserve"> and </w:t>
      </w:r>
      <w:bookmarkStart w:id="0" w:name="_Hlk87618534"/>
      <w:r w:rsidR="00A53FDA" w:rsidRPr="009E7C8C">
        <w:rPr>
          <w:sz w:val="18"/>
          <w:szCs w:val="18"/>
        </w:rPr>
        <w:t>Medical Engineering</w:t>
      </w:r>
      <w:bookmarkEnd w:id="0"/>
      <w:r w:rsidR="00A53FDA" w:rsidRPr="009E7C8C">
        <w:rPr>
          <w:sz w:val="18"/>
          <w:szCs w:val="18"/>
        </w:rPr>
        <w:t xml:space="preserve">, Islamic Azad University, Tehran Medical </w:t>
      </w:r>
      <w:r w:rsidR="00A53FDA">
        <w:rPr>
          <w:sz w:val="18"/>
          <w:szCs w:val="18"/>
        </w:rPr>
        <w:t>Sciences</w:t>
      </w:r>
      <w:r w:rsidR="00A53FDA" w:rsidRPr="009E7C8C">
        <w:rPr>
          <w:sz w:val="18"/>
          <w:szCs w:val="18"/>
        </w:rPr>
        <w:t>, Tehran, Iran</w:t>
      </w:r>
    </w:p>
    <w:p w14:paraId="3819A683" w14:textId="49CA80B7" w:rsidR="006A29BB" w:rsidRDefault="006A29BB" w:rsidP="00B8530B">
      <w:pPr>
        <w:pStyle w:val="Author"/>
        <w:spacing w:before="0pt" w:after="0pt"/>
        <w:rPr>
          <w:sz w:val="18"/>
          <w:szCs w:val="18"/>
        </w:rPr>
      </w:pPr>
      <w:r>
        <w:rPr>
          <w:sz w:val="18"/>
          <w:szCs w:val="18"/>
          <w:vertAlign w:val="superscript"/>
        </w:rPr>
        <w:t>2</w:t>
      </w:r>
      <w:r w:rsidRPr="00533F1D">
        <w:rPr>
          <w:sz w:val="24"/>
          <w:szCs w:val="24"/>
          <w:lang w:val="en-GB"/>
        </w:rPr>
        <w:t xml:space="preserve"> </w:t>
      </w:r>
      <w:r w:rsidR="00A53FDA" w:rsidRPr="00465948">
        <w:rPr>
          <w:color w:val="000000"/>
        </w:rPr>
        <w:t>Faculty of Paramedicine, Tabriz University of Medical Sciences, Tabriz, IRAN</w:t>
      </w:r>
    </w:p>
    <w:p w14:paraId="1D141BB0" w14:textId="77777777" w:rsidR="004C694C" w:rsidRDefault="004C694C" w:rsidP="00B8530B">
      <w:pPr>
        <w:pStyle w:val="Author"/>
        <w:spacing w:before="0pt"/>
        <w:rPr>
          <w:sz w:val="18"/>
          <w:szCs w:val="18"/>
        </w:rPr>
      </w:pPr>
    </w:p>
    <w:p w14:paraId="1418060A" w14:textId="77777777" w:rsidR="00A53FDA" w:rsidRPr="00532853" w:rsidRDefault="00A53FDA" w:rsidP="00B8530B">
      <w:pPr>
        <w:pStyle w:val="Abstract"/>
        <w:spacing w:after="0pt"/>
        <w:ind w:start="13.60pt" w:hanging="27.80pt"/>
        <w:jc w:val="center"/>
        <w:rPr>
          <w:rFonts w:cs="B Nazanin"/>
          <w:b w:val="0"/>
          <w:bCs w:val="0"/>
          <w:vertAlign w:val="superscript"/>
          <w:lang w:bidi="fa-IR"/>
        </w:rPr>
      </w:pPr>
      <w:r w:rsidRPr="00231994">
        <w:rPr>
          <w:rFonts w:cs="B Nazanin" w:hint="cs"/>
          <w:b w:val="0"/>
          <w:bCs w:val="0"/>
          <w:vertAlign w:val="superscript"/>
          <w:rtl/>
          <w:lang w:bidi="fa-IR"/>
        </w:rPr>
        <w:t>*</w:t>
      </w:r>
      <w:r w:rsidRPr="00532853">
        <w:rPr>
          <w:rFonts w:cs="B Nazanin"/>
          <w:b w:val="0"/>
          <w:bCs w:val="0"/>
          <w:vertAlign w:val="superscript"/>
          <w:lang w:bidi="fa-IR"/>
        </w:rPr>
        <w:t>nazarpoorm@tbzmed.ac.ir</w:t>
      </w:r>
    </w:p>
    <w:p w14:paraId="71B56C43" w14:textId="77777777" w:rsidR="00B8530B" w:rsidRDefault="00A53FDA" w:rsidP="00B8530B">
      <w:pPr>
        <w:ind w:start="18pt" w:hanging="32.20pt"/>
        <w:rPr>
          <w:sz w:val="18"/>
          <w:szCs w:val="18"/>
        </w:rPr>
      </w:pPr>
      <w:r w:rsidRPr="00532853">
        <w:rPr>
          <w:rFonts w:cs="B Nazanin" w:hint="cs"/>
          <w:sz w:val="18"/>
          <w:szCs w:val="18"/>
          <w:vertAlign w:val="superscript"/>
          <w:rtl/>
          <w:lang w:bidi="fa-IR"/>
        </w:rPr>
        <w:t>*</w:t>
      </w:r>
      <w:r w:rsidRPr="00532853">
        <w:rPr>
          <w:rFonts w:cs="B Nazanin"/>
          <w:sz w:val="18"/>
          <w:szCs w:val="18"/>
          <w:vertAlign w:val="superscript"/>
          <w:lang w:bidi="fa-IR"/>
        </w:rPr>
        <w:t>mnazarpoor@yahoo.co.uk</w:t>
      </w:r>
    </w:p>
    <w:p w14:paraId="5B16892D" w14:textId="77777777" w:rsidR="002C5D1B" w:rsidRDefault="002C5D1B" w:rsidP="00B8530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rsidP="00B8530B"/>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4A036B"/>
    <w:p w14:paraId="6CE1FFAC" w14:textId="77777777" w:rsidR="00A53FDA" w:rsidRPr="00465948" w:rsidRDefault="004A036B" w:rsidP="00A53FDA">
      <w:pPr>
        <w:pStyle w:val="Abstract"/>
        <w:rPr>
          <w:b w:val="0"/>
          <w:bCs w:val="0"/>
          <w:sz w:val="16"/>
          <w:szCs w:val="16"/>
        </w:rPr>
      </w:pPr>
      <w:r>
        <w:rPr>
          <w:i/>
          <w:iCs/>
        </w:rPr>
        <w:t>Abstract</w:t>
      </w:r>
      <w:r>
        <w:t>—</w:t>
      </w:r>
      <w:r w:rsidR="00A53FDA">
        <w:t xml:space="preserve">: </w:t>
      </w:r>
      <w:r w:rsidR="00A53FDA" w:rsidRPr="00465948">
        <w:rPr>
          <w:b w:val="0"/>
          <w:bCs w:val="0"/>
          <w:sz w:val="16"/>
          <w:szCs w:val="16"/>
        </w:rPr>
        <w:t>Medical imaging devices are divided into two categories: anatomical and physiological. Anatomical devices provide a descriptive map of the body by distinguishing hard and soft tissue from each other, and physiological devices categorize places by recognizing the intensity of fluid flow in the body and blood circulation. Physiological devices such as positron emission radiography (PET) are very valuable in diagnosing various disorders of the body. Certainly, in the descriptive definition of PET images, however, there are sometimes limitations in its use and benefits, and to overcome this problem, fusion of magnetic resonance imaging (MRI) images with PET of the same parts of the body is used.</w:t>
      </w:r>
    </w:p>
    <w:p w14:paraId="351A6903" w14:textId="77777777" w:rsidR="00A53FDA" w:rsidRDefault="00A53FDA" w:rsidP="00A53FDA">
      <w:pPr>
        <w:pStyle w:val="Abstract"/>
        <w:rPr>
          <w:i/>
          <w:iCs/>
        </w:rPr>
      </w:pPr>
      <w:r w:rsidRPr="00465948">
        <w:rPr>
          <w:b w:val="0"/>
          <w:bCs w:val="0"/>
          <w:sz w:val="16"/>
          <w:szCs w:val="16"/>
        </w:rPr>
        <w:t xml:space="preserve">The aim of this study was to combine both </w:t>
      </w:r>
      <w:proofErr w:type="gramStart"/>
      <w:r w:rsidRPr="00465948">
        <w:rPr>
          <w:b w:val="0"/>
          <w:bCs w:val="0"/>
          <w:sz w:val="16"/>
          <w:szCs w:val="16"/>
        </w:rPr>
        <w:t>wavelet</w:t>
      </w:r>
      <w:proofErr w:type="gramEnd"/>
      <w:r w:rsidRPr="00465948">
        <w:rPr>
          <w:b w:val="0"/>
          <w:bCs w:val="0"/>
          <w:sz w:val="16"/>
          <w:szCs w:val="16"/>
        </w:rPr>
        <w:t xml:space="preserve"> transform and IHS to combine PET and MRI images, which have not been mentioned in previous published articles. This combination is done by first taking the IHS converted PET image, then the wavelet </w:t>
      </w:r>
      <w:proofErr w:type="gramStart"/>
      <w:r w:rsidRPr="00465948">
        <w:rPr>
          <w:b w:val="0"/>
          <w:bCs w:val="0"/>
          <w:sz w:val="16"/>
          <w:szCs w:val="16"/>
        </w:rPr>
        <w:t>transform</w:t>
      </w:r>
      <w:proofErr w:type="gramEnd"/>
      <w:r w:rsidRPr="00465948">
        <w:rPr>
          <w:b w:val="0"/>
          <w:bCs w:val="0"/>
          <w:sz w:val="16"/>
          <w:szCs w:val="16"/>
        </w:rPr>
        <w:t xml:space="preserve"> from this image and the MRI image, and fusion is performed. The results obtained from the method proposed in the study show that this method has obtained better results in most statistical parameters compared to similar studies and has increased the information related to the intended application and has a significant impact on the physician's diagnosis.</w:t>
      </w:r>
    </w:p>
    <w:p w14:paraId="3FE35347" w14:textId="513B77EC" w:rsidR="004A036B" w:rsidRDefault="004A036B" w:rsidP="004A036B">
      <w:pPr>
        <w:pStyle w:val="Abstract"/>
        <w:ind w:firstLine="0pt"/>
        <w:rPr>
          <w:i/>
          <w:iCs/>
        </w:rPr>
      </w:pPr>
    </w:p>
    <w:p w14:paraId="0EFEAEFA" w14:textId="470EDD0B" w:rsidR="004A036B" w:rsidRPr="004D72B5" w:rsidRDefault="004A036B" w:rsidP="004A036B">
      <w:pPr>
        <w:pStyle w:val="Keywords"/>
      </w:pPr>
      <w:r w:rsidRPr="004D72B5">
        <w:t>Keywords—</w:t>
      </w:r>
      <w:r w:rsidR="00B8530B" w:rsidRPr="00B8530B">
        <w:rPr>
          <w:b w:val="0"/>
          <w:bCs w:val="0"/>
          <w:sz w:val="16"/>
          <w:szCs w:val="16"/>
        </w:rPr>
        <w:t xml:space="preserve"> </w:t>
      </w:r>
      <w:r w:rsidR="00B8530B" w:rsidRPr="00465948">
        <w:rPr>
          <w:b w:val="0"/>
          <w:bCs w:val="0"/>
          <w:sz w:val="16"/>
          <w:szCs w:val="16"/>
        </w:rPr>
        <w:t xml:space="preserve">Image fusion, wavelet transform, positron emission </w:t>
      </w:r>
      <w:r w:rsidR="00B8530B">
        <w:rPr>
          <w:b w:val="0"/>
          <w:bCs w:val="0"/>
          <w:sz w:val="16"/>
          <w:szCs w:val="16"/>
        </w:rPr>
        <w:t>Tomography</w:t>
      </w:r>
      <w:r w:rsidR="00B8530B" w:rsidRPr="00465948">
        <w:rPr>
          <w:b w:val="0"/>
          <w:bCs w:val="0"/>
          <w:sz w:val="16"/>
          <w:szCs w:val="16"/>
        </w:rPr>
        <w:t xml:space="preserve"> (PET), magnetic resonance imaging (MRI), IHS (intensity hue saturation) conversion</w:t>
      </w:r>
    </w:p>
    <w:p w14:paraId="5B8B5AAD" w14:textId="77777777" w:rsidR="004A036B" w:rsidRDefault="004A036B" w:rsidP="004A036B">
      <w:pPr>
        <w:sectPr w:rsidR="004A036B" w:rsidSect="003A644E">
          <w:type w:val="continuous"/>
          <w:pgSz w:w="595.30pt" w:h="841.90pt" w:code="9"/>
          <w:pgMar w:top="22.50pt" w:right="44.65pt" w:bottom="72pt" w:left="44.65pt" w:header="36pt" w:footer="36pt" w:gutter="0pt"/>
          <w:cols w:space="36pt"/>
          <w:docGrid w:linePitch="360"/>
        </w:sectPr>
      </w:pP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7777777" w:rsidR="004A036B" w:rsidRDefault="004A036B" w:rsidP="004A036B">
      <w:pPr>
        <w:pStyle w:val="BodyText"/>
      </w:pPr>
    </w:p>
    <w:p w14:paraId="7A69FDE0" w14:textId="77777777" w:rsidR="004A036B" w:rsidRDefault="004A036B" w:rsidP="004A036B">
      <w:pPr>
        <w:pStyle w:val="Heading5"/>
      </w:pPr>
      <w:r w:rsidRPr="005B520E">
        <w:t>References</w:t>
      </w:r>
    </w:p>
    <w:p w14:paraId="10074051" w14:textId="0FA83ED5" w:rsidR="00323ADC" w:rsidRPr="00323ADC" w:rsidRDefault="00323ADC" w:rsidP="00323ADC">
      <w:pPr>
        <w:pStyle w:val="EndNoteBibliography"/>
        <w:ind w:start="36pt" w:hanging="36pt"/>
        <w:rPr>
          <w:rFonts w:cs="B Nazanin"/>
          <w:color w:val="000000" w:themeColor="text1"/>
          <w:sz w:val="16"/>
          <w:szCs w:val="16"/>
        </w:rPr>
      </w:pPr>
      <w:r w:rsidRPr="00323ADC">
        <w:rPr>
          <w:rFonts w:cs="B Nazanin"/>
          <w:color w:val="000000" w:themeColor="text1"/>
          <w:sz w:val="16"/>
          <w:szCs w:val="16"/>
        </w:rPr>
        <w:t>[</w:t>
      </w:r>
      <w:r>
        <w:rPr>
          <w:rFonts w:cs="B Nazanin"/>
          <w:color w:val="000000" w:themeColor="text1"/>
          <w:sz w:val="16"/>
          <w:szCs w:val="16"/>
        </w:rPr>
        <w:t>1</w:t>
      </w:r>
      <w:r w:rsidRPr="00323ADC">
        <w:rPr>
          <w:rFonts w:cs="B Nazanin"/>
          <w:color w:val="000000" w:themeColor="text1"/>
          <w:sz w:val="16"/>
          <w:szCs w:val="16"/>
        </w:rPr>
        <w:t>]. Bercovich, E. and M.C. Javitt, Medical imaging: from roentgen to the digital revolution, and beyond. Rambam Maimonides medical journal, 2018. 9(4).</w:t>
      </w:r>
    </w:p>
    <w:p w14:paraId="5550CF30" w14:textId="5D81CE0C" w:rsidR="00323ADC" w:rsidRPr="00323ADC" w:rsidRDefault="00323ADC" w:rsidP="00323ADC">
      <w:pPr>
        <w:pStyle w:val="EndNoteBibliography"/>
        <w:ind w:start="36pt" w:hanging="36pt"/>
        <w:rPr>
          <w:rFonts w:cs="B Nazanin"/>
          <w:color w:val="000000" w:themeColor="text1"/>
          <w:sz w:val="16"/>
          <w:szCs w:val="16"/>
        </w:rPr>
      </w:pPr>
      <w:r w:rsidRPr="00323ADC">
        <w:rPr>
          <w:rFonts w:cs="B Nazanin"/>
          <w:color w:val="000000" w:themeColor="text1"/>
          <w:sz w:val="16"/>
          <w:szCs w:val="16"/>
        </w:rPr>
        <w:t>[</w:t>
      </w:r>
      <w:r>
        <w:rPr>
          <w:rFonts w:cs="B Nazanin"/>
          <w:color w:val="000000" w:themeColor="text1"/>
          <w:sz w:val="16"/>
          <w:szCs w:val="16"/>
        </w:rPr>
        <w:t>2</w:t>
      </w:r>
      <w:r w:rsidRPr="00323ADC">
        <w:rPr>
          <w:rFonts w:cs="B Nazanin"/>
          <w:color w:val="000000" w:themeColor="text1"/>
          <w:sz w:val="16"/>
          <w:szCs w:val="16"/>
        </w:rPr>
        <w:t>]. Biao, G., Z. Chen-chen, and L. Heng. A new fusion rule of multi-focus image fusion based on wavelet transform. in Proceedings of the 2018 2nd International Conference on Algorithms, Computing and Systems. 2018.</w:t>
      </w:r>
    </w:p>
    <w:p w14:paraId="5CCC5A66" w14:textId="1B713DB1" w:rsidR="00323ADC" w:rsidRPr="00323ADC" w:rsidRDefault="00323ADC" w:rsidP="00323ADC">
      <w:pPr>
        <w:pStyle w:val="EndNoteBibliography"/>
        <w:ind w:start="36pt" w:hanging="36pt"/>
        <w:rPr>
          <w:rFonts w:cs="B Nazanin"/>
          <w:color w:val="000000" w:themeColor="text1"/>
          <w:sz w:val="16"/>
          <w:szCs w:val="16"/>
        </w:rPr>
      </w:pPr>
      <w:r w:rsidRPr="00323ADC">
        <w:rPr>
          <w:rFonts w:cs="B Nazanin"/>
          <w:color w:val="000000" w:themeColor="text1"/>
          <w:sz w:val="16"/>
          <w:szCs w:val="16"/>
        </w:rPr>
        <w:t>[</w:t>
      </w:r>
      <w:r>
        <w:rPr>
          <w:rFonts w:cs="B Nazanin"/>
          <w:color w:val="000000" w:themeColor="text1"/>
          <w:sz w:val="16"/>
          <w:szCs w:val="16"/>
        </w:rPr>
        <w:t>3</w:t>
      </w:r>
      <w:r w:rsidRPr="00323ADC">
        <w:rPr>
          <w:rFonts w:cs="B Nazanin"/>
          <w:color w:val="000000" w:themeColor="text1"/>
          <w:sz w:val="16"/>
          <w:szCs w:val="16"/>
        </w:rPr>
        <w:t>]. Kamble, A., C. Maisheri, and P. Upadhyay, HSV, IHS and PCA Based Image Fusion: A Review. International Journal of Engineering and Management Research (IJEMR), 2016. 6(1): p. 164-167.</w:t>
      </w:r>
    </w:p>
    <w:p w14:paraId="13F0A38F" w14:textId="0696BDEA" w:rsidR="00323ADC" w:rsidRPr="00323ADC" w:rsidRDefault="00323ADC" w:rsidP="00323ADC">
      <w:pPr>
        <w:pStyle w:val="EndNoteBibliography"/>
        <w:ind w:start="36pt" w:hanging="36pt"/>
        <w:rPr>
          <w:rFonts w:cs="B Nazanin"/>
          <w:color w:val="000000" w:themeColor="text1"/>
          <w:sz w:val="16"/>
          <w:szCs w:val="16"/>
        </w:rPr>
      </w:pPr>
      <w:r w:rsidRPr="00323ADC">
        <w:rPr>
          <w:rFonts w:cs="B Nazanin"/>
          <w:color w:val="000000" w:themeColor="text1"/>
          <w:sz w:val="16"/>
          <w:szCs w:val="16"/>
        </w:rPr>
        <w:t>[</w:t>
      </w:r>
      <w:r>
        <w:rPr>
          <w:rFonts w:cs="B Nazanin"/>
          <w:color w:val="000000" w:themeColor="text1"/>
          <w:sz w:val="16"/>
          <w:szCs w:val="16"/>
        </w:rPr>
        <w:t>4</w:t>
      </w:r>
      <w:r w:rsidRPr="00323ADC">
        <w:rPr>
          <w:rFonts w:cs="B Nazanin"/>
          <w:color w:val="000000" w:themeColor="text1"/>
          <w:sz w:val="16"/>
          <w:szCs w:val="16"/>
        </w:rPr>
        <w:t>]. Zhu, X. and W. Bao, Investigation of Remote Sensing Image Fusion Strategy Applying PCA to Wavelet Packet Analysis Based on IHS Transform. Journal of the Indian Society of Remote Sensing, 2019. 47(3): p. 413-425.</w:t>
      </w:r>
    </w:p>
    <w:p w14:paraId="0F80D9B0" w14:textId="77777777" w:rsidR="009303D9" w:rsidRDefault="009303D9" w:rsidP="00323ADC">
      <w:pPr>
        <w:jc w:val="start"/>
      </w:pPr>
    </w:p>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947F61C" w14:textId="77777777" w:rsidR="00D356FC" w:rsidRDefault="00D356FC" w:rsidP="001A3B3D">
      <w:r>
        <w:separator/>
      </w:r>
    </w:p>
  </w:endnote>
  <w:endnote w:type="continuationSeparator" w:id="0">
    <w:p w14:paraId="68F46B7D" w14:textId="77777777" w:rsidR="00D356FC" w:rsidRDefault="00D356FC"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IRANSans">
    <w:altName w:val="Times New Roman"/>
    <w:panose1 w:val="00000000000000000000"/>
    <w:charset w:characterSet="iso-8859-1"/>
    <w:family w:val="roman"/>
    <w:notTrueType/>
    <w:pitch w:val="default"/>
  </w:font>
  <w:font w:name="B Nazanin">
    <w:altName w:val="Courier New"/>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F231C95" w14:textId="77777777" w:rsidR="00D356FC" w:rsidRDefault="00D356FC" w:rsidP="001A3B3D">
      <w:r>
        <w:separator/>
      </w:r>
    </w:p>
  </w:footnote>
  <w:footnote w:type="continuationSeparator" w:id="0">
    <w:p w14:paraId="0FB6A9DC" w14:textId="77777777" w:rsidR="00D356FC" w:rsidRDefault="00D356FC"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D356FC" w:rsidP="006C0C76">
    <w:pPr>
      <w:pStyle w:val="Header"/>
      <w:ind w:start="-37.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16543C1E" wp14:editId="437FF489">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abstractNum w:abstractNumId="21" w15:restartNumberingAfterBreak="0">
    <w:nsid w:val="7CFB79A2"/>
    <w:multiLevelType w:val="hybridMultilevel"/>
    <w:tmpl w:val="622465F2"/>
    <w:lvl w:ilvl="0" w:tplc="53B225C2">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 w:numId="26">
    <w:abstractNumId w:val="2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4781E"/>
    <w:rsid w:val="0008758A"/>
    <w:rsid w:val="000C00B2"/>
    <w:rsid w:val="000C0550"/>
    <w:rsid w:val="000C1E68"/>
    <w:rsid w:val="000E45A3"/>
    <w:rsid w:val="00112B74"/>
    <w:rsid w:val="001853FA"/>
    <w:rsid w:val="00191B27"/>
    <w:rsid w:val="001A22CB"/>
    <w:rsid w:val="001A2EFD"/>
    <w:rsid w:val="001A3B3D"/>
    <w:rsid w:val="001B67DC"/>
    <w:rsid w:val="001D58D0"/>
    <w:rsid w:val="001E4C0E"/>
    <w:rsid w:val="002254A9"/>
    <w:rsid w:val="00233D97"/>
    <w:rsid w:val="002347A2"/>
    <w:rsid w:val="00243C3D"/>
    <w:rsid w:val="00253C8B"/>
    <w:rsid w:val="00271D8B"/>
    <w:rsid w:val="002850E3"/>
    <w:rsid w:val="00287FF4"/>
    <w:rsid w:val="002B2185"/>
    <w:rsid w:val="002B618E"/>
    <w:rsid w:val="002B793B"/>
    <w:rsid w:val="002C5D1B"/>
    <w:rsid w:val="00323ADC"/>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937C1"/>
    <w:rsid w:val="004A036B"/>
    <w:rsid w:val="004B4363"/>
    <w:rsid w:val="004C667C"/>
    <w:rsid w:val="004C694C"/>
    <w:rsid w:val="004D3B09"/>
    <w:rsid w:val="004D72B5"/>
    <w:rsid w:val="004D7891"/>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776B5"/>
    <w:rsid w:val="00890A25"/>
    <w:rsid w:val="008A2C7D"/>
    <w:rsid w:val="008A7A92"/>
    <w:rsid w:val="008B6524"/>
    <w:rsid w:val="008C4B23"/>
    <w:rsid w:val="008E3807"/>
    <w:rsid w:val="008F6E2C"/>
    <w:rsid w:val="00917A57"/>
    <w:rsid w:val="00923138"/>
    <w:rsid w:val="009303D9"/>
    <w:rsid w:val="00933C64"/>
    <w:rsid w:val="00945D68"/>
    <w:rsid w:val="00972203"/>
    <w:rsid w:val="009D11A9"/>
    <w:rsid w:val="009E669A"/>
    <w:rsid w:val="009F1D79"/>
    <w:rsid w:val="00A03E66"/>
    <w:rsid w:val="00A0572A"/>
    <w:rsid w:val="00A059B3"/>
    <w:rsid w:val="00A06EC7"/>
    <w:rsid w:val="00A25AAD"/>
    <w:rsid w:val="00A3357D"/>
    <w:rsid w:val="00A53FDA"/>
    <w:rsid w:val="00A93B5D"/>
    <w:rsid w:val="00A96A7C"/>
    <w:rsid w:val="00AC41E9"/>
    <w:rsid w:val="00AE3409"/>
    <w:rsid w:val="00AE4FE3"/>
    <w:rsid w:val="00AF229B"/>
    <w:rsid w:val="00AF3CDF"/>
    <w:rsid w:val="00B062E4"/>
    <w:rsid w:val="00B11A60"/>
    <w:rsid w:val="00B22613"/>
    <w:rsid w:val="00B421A9"/>
    <w:rsid w:val="00B44A76"/>
    <w:rsid w:val="00B55AAF"/>
    <w:rsid w:val="00B659EB"/>
    <w:rsid w:val="00B768D1"/>
    <w:rsid w:val="00B8530B"/>
    <w:rsid w:val="00BA1025"/>
    <w:rsid w:val="00BA13C6"/>
    <w:rsid w:val="00BA62E9"/>
    <w:rsid w:val="00BC3420"/>
    <w:rsid w:val="00BD670B"/>
    <w:rsid w:val="00BE7D3C"/>
    <w:rsid w:val="00BF5FF6"/>
    <w:rsid w:val="00C0207F"/>
    <w:rsid w:val="00C16117"/>
    <w:rsid w:val="00C3075A"/>
    <w:rsid w:val="00C919A4"/>
    <w:rsid w:val="00C952C5"/>
    <w:rsid w:val="00CA4392"/>
    <w:rsid w:val="00CC393F"/>
    <w:rsid w:val="00CD12A0"/>
    <w:rsid w:val="00D2176E"/>
    <w:rsid w:val="00D260F2"/>
    <w:rsid w:val="00D356FC"/>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C4C41"/>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rsid w:val="00B8530B"/>
    <w:rPr>
      <w:color w:val="0563C1" w:themeColor="hyperlink"/>
      <w:u w:val="single"/>
    </w:rPr>
  </w:style>
  <w:style w:type="character" w:styleId="UnresolvedMention">
    <w:name w:val="Unresolved Mention"/>
    <w:basedOn w:val="DefaultParagraphFont"/>
    <w:uiPriority w:val="99"/>
    <w:semiHidden/>
    <w:unhideWhenUsed/>
    <w:rsid w:val="00B8530B"/>
    <w:rPr>
      <w:color w:val="605E5C"/>
      <w:shd w:val="clear" w:color="auto" w:fill="E1DFDD"/>
    </w:rPr>
  </w:style>
  <w:style w:type="paragraph" w:customStyle="1" w:styleId="EndNoteBibliography">
    <w:name w:val="EndNote Bibliography"/>
    <w:basedOn w:val="Normal"/>
    <w:link w:val="EndNoteBibliographyChar"/>
    <w:rsid w:val="00323ADC"/>
    <w:pPr>
      <w:jc w:val="both"/>
    </w:pPr>
    <w:rPr>
      <w:rFonts w:eastAsia="Times New Roman"/>
      <w:noProof/>
      <w:szCs w:val="24"/>
    </w:rPr>
  </w:style>
  <w:style w:type="character" w:customStyle="1" w:styleId="EndNoteBibliographyChar">
    <w:name w:val="EndNote Bibliography Char"/>
    <w:basedOn w:val="DefaultParagraphFont"/>
    <w:link w:val="EndNoteBibliography"/>
    <w:rsid w:val="00323ADC"/>
    <w:rPr>
      <w:rFonts w:eastAsia="Times New Roman"/>
      <w:noProof/>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3455A86-839D-4B52-8077-27503A11F3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Mahmood Nazarpoor</cp:lastModifiedBy>
  <cp:revision>2</cp:revision>
  <dcterms:created xsi:type="dcterms:W3CDTF">2021-11-20T15:10:00Z</dcterms:created>
  <dcterms:modified xsi:type="dcterms:W3CDTF">2021-11-20T15:10:00Z</dcterms:modified>
</cp:coreProperties>
</file>